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C" w:rsidRDefault="008F0B1C" w:rsidP="008F0B1C">
      <w:pPr>
        <w:tabs>
          <w:tab w:val="left" w:pos="8505"/>
        </w:tabs>
        <w:ind w:right="297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LEI Nº 2.012 DE 16 DE DEZEMBRO DE 2015.</w:t>
      </w:r>
    </w:p>
    <w:p w:rsidR="008F0B1C" w:rsidRDefault="008F0B1C" w:rsidP="008F0B1C">
      <w:pPr>
        <w:ind w:left="4253" w:right="14"/>
        <w:jc w:val="both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ind w:left="4253" w:right="1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 A RECEITA E FIXA A DESPESA DO MUNICÍPIO DE CAMAPUÃ/MS, PARA O EXERCÍCIO DE 2016, E DA OUTRAS PROVIDÊNCIAS.</w:t>
      </w:r>
    </w:p>
    <w:p w:rsidR="008F0B1C" w:rsidRDefault="008F0B1C" w:rsidP="008F0B1C">
      <w:pPr>
        <w:ind w:left="4253" w:right="14"/>
        <w:jc w:val="both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spacing w:after="360"/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PIMENTEL DUAILIBI</w:t>
      </w:r>
      <w:r>
        <w:rPr>
          <w:rFonts w:ascii="Arial" w:hAnsi="Arial" w:cs="Arial"/>
          <w:sz w:val="24"/>
          <w:szCs w:val="24"/>
        </w:rPr>
        <w:t xml:space="preserve">, Prefeito Municipal de Camapuã, Estado de Mato Grosso do Sul, no uso de suas atribuições legais que lhe são conferidas pela Lei Orgânica do Município, faço saber que a Câmara Municipal aprovou e eu </w:t>
      </w:r>
      <w:r>
        <w:rPr>
          <w:rFonts w:ascii="Arial" w:hAnsi="Arial" w:cs="Arial"/>
          <w:b/>
          <w:sz w:val="24"/>
          <w:szCs w:val="24"/>
        </w:rPr>
        <w:t>SANCIONO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>PROMULGO</w:t>
      </w:r>
      <w:r>
        <w:rPr>
          <w:rFonts w:ascii="Arial" w:hAnsi="Arial" w:cs="Arial"/>
          <w:sz w:val="24"/>
          <w:szCs w:val="24"/>
        </w:rPr>
        <w:t xml:space="preserve"> a seguinte Lei: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>. Esta Lei Estima a Receita e Fixa a Despesa do Município de Camapuã para exercício financeiro de 2016, compreendendo o Orçamento Fiscal e o Orçamento da Seguridade Social, abrangendo Fundos, Fundações, Autarquias, Órgãos e Unidades que compõem a Administração Pública Municipal Direta e Indireta.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conjunto do Orçamento Fiscal e da Seguridade Social do Município de Camapuã para o exercício de 2016, estima a Receita e Fixa a Despesa no valor total consolidado de </w:t>
      </w:r>
      <w:r>
        <w:rPr>
          <w:rFonts w:ascii="Arial" w:hAnsi="Arial" w:cs="Arial"/>
          <w:b/>
          <w:sz w:val="24"/>
          <w:szCs w:val="24"/>
        </w:rPr>
        <w:t>R$ 54.000.000,00 (</w:t>
      </w:r>
      <w:proofErr w:type="spellStart"/>
      <w:r>
        <w:rPr>
          <w:rFonts w:ascii="Arial" w:hAnsi="Arial" w:cs="Arial"/>
          <w:b/>
          <w:sz w:val="24"/>
          <w:szCs w:val="24"/>
        </w:rPr>
        <w:t>Cinquenta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quatro milhões de reais)</w:t>
      </w:r>
      <w:r>
        <w:rPr>
          <w:rFonts w:ascii="Arial" w:hAnsi="Arial" w:cs="Arial"/>
          <w:sz w:val="24"/>
          <w:szCs w:val="24"/>
        </w:rPr>
        <w:t>, importando o Orçamento Fiscal em R$ 36.783.000,00 (Trinta e seis milhões, setecentos e oitenta e três mil reais) e o Orçamento da Seguridade Social em R$ 17.217.000,00 (</w:t>
      </w:r>
      <w:proofErr w:type="gramStart"/>
      <w:r>
        <w:rPr>
          <w:rFonts w:ascii="Arial" w:hAnsi="Arial" w:cs="Arial"/>
          <w:sz w:val="24"/>
          <w:szCs w:val="24"/>
        </w:rPr>
        <w:t>Dezessete milhões, duzentos e dezessete</w:t>
      </w:r>
      <w:proofErr w:type="gramEnd"/>
      <w:r>
        <w:rPr>
          <w:rFonts w:ascii="Arial" w:hAnsi="Arial" w:cs="Arial"/>
          <w:sz w:val="24"/>
          <w:szCs w:val="24"/>
        </w:rPr>
        <w:t xml:space="preserve"> mil reais).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autoSpaceDE w:val="0"/>
        <w:autoSpaceDN w:val="0"/>
        <w:adjustRightInd w:val="0"/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Art. 3º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 Receita Orçamentária decorrerá da arrecadação de tributos, transferências constitucionais e outras receitas correntes e de capital, de acordo com a legislação vigente e das especificações constantes dos anexos desta Lei, estando discriminadas as fontes de recursos de acordo com a Instrução Normativa TC/MS nº 35/2011 e suas alterações, em seus respectivos quadros que acompanham esta Lei.</w:t>
      </w:r>
    </w:p>
    <w:p w:rsidR="008F0B1C" w:rsidRDefault="008F0B1C" w:rsidP="008F0B1C">
      <w:pPr>
        <w:tabs>
          <w:tab w:val="left" w:pos="8505"/>
        </w:tabs>
        <w:autoSpaceDE w:val="0"/>
        <w:autoSpaceDN w:val="0"/>
        <w:adjustRightInd w:val="0"/>
        <w:ind w:right="14" w:firstLine="1701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Parágrafo único</w:t>
      </w:r>
      <w:r>
        <w:rPr>
          <w:rFonts w:ascii="Arial" w:hAnsi="Arial" w:cs="Arial"/>
          <w:sz w:val="24"/>
          <w:szCs w:val="24"/>
        </w:rPr>
        <w:t>. Se houver alterações quanto às fontes de recursos e sua destinação mediante ato legal do TCE/MS, fica o Poder Executivo autorizado a promover o remanejamento e ajuste das mesmas através de Decreto de suplementação.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As Receitas e as Despesas serão realizadas de acordo com as especificações constantes dos quadros que integram esta Lei, observado o seguinte desdobramento: </w:t>
      </w:r>
    </w:p>
    <w:p w:rsidR="008F0B1C" w:rsidRDefault="008F0B1C" w:rsidP="008F0B1C">
      <w:pPr>
        <w:tabs>
          <w:tab w:val="left" w:pos="735"/>
          <w:tab w:val="center" w:pos="4671"/>
          <w:tab w:val="left" w:pos="8505"/>
        </w:tabs>
        <w:ind w:right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RECEITA DOS ORÇAMENTOS FISCAL E DA SEGURIDADE SOCIAL</w:t>
      </w:r>
    </w:p>
    <w:p w:rsidR="008F0B1C" w:rsidRDefault="008F0B1C" w:rsidP="008F0B1C">
      <w:pPr>
        <w:tabs>
          <w:tab w:val="left" w:pos="8505"/>
        </w:tabs>
        <w:ind w:right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CATEGORIA ECONÔMICA</w:t>
      </w:r>
    </w:p>
    <w:p w:rsidR="008F0B1C" w:rsidRDefault="008F0B1C" w:rsidP="008F0B1C">
      <w:pPr>
        <w:tabs>
          <w:tab w:val="left" w:pos="8505"/>
        </w:tabs>
        <w:ind w:right="1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387"/>
        <w:gridCol w:w="1911"/>
      </w:tblGrid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ind w:left="31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 w:rsidP="008F0B1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Receitas Correntes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51.105.000,00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Tributaria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4.406.000,00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de Contribuições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1.982.000,00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Patrimonial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1.556.500,00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Transferências Correntes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42.661.500,00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Outras Transferências Correntes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499.000,00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 w:rsidP="008F0B1C">
            <w:pPr>
              <w:numPr>
                <w:ilvl w:val="0"/>
                <w:numId w:val="2"/>
              </w:numPr>
              <w:spacing w:after="0" w:line="240" w:lineRule="auto"/>
              <w:ind w:left="319" w:hanging="284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Receita de Capital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6.324.000,00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    Transferência de Capital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6.324.000,00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3.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Receita Corrente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Intraorçamentária</w:t>
            </w:r>
            <w:proofErr w:type="spellEnd"/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2.602.000,00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Receita de Contribuições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2.602.000,00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4. Deduções da Receita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- 6.031.000,00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Dedução da Receita Patrimonial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-175.000,00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Dedução p/ Formação do FUNDEB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- 5.856.000,00</w:t>
            </w:r>
          </w:p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trHeight w:val="231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5. TOTAL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54.00.000,00</w:t>
            </w:r>
          </w:p>
        </w:tc>
      </w:tr>
    </w:tbl>
    <w:p w:rsidR="008F0B1C" w:rsidRDefault="008F0B1C" w:rsidP="008F0B1C">
      <w:pPr>
        <w:tabs>
          <w:tab w:val="left" w:pos="8505"/>
        </w:tabs>
        <w:ind w:left="284" w:right="297"/>
        <w:jc w:val="center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left="284" w:right="297"/>
        <w:jc w:val="center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left="284" w:right="29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DESPESA POR CATEGORIA ECONÔMICA</w:t>
      </w:r>
    </w:p>
    <w:p w:rsidR="008F0B1C" w:rsidRDefault="008F0B1C" w:rsidP="008F0B1C">
      <w:pPr>
        <w:tabs>
          <w:tab w:val="left" w:pos="8505"/>
        </w:tabs>
        <w:ind w:left="284" w:right="29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387"/>
        <w:gridCol w:w="1885"/>
      </w:tblGrid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Despesa Corrente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42.336.000,00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Despesa de Capital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8.582.000,00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Reserva de Contingência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3.082.000,00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>TOTAL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54.000.000,00</w:t>
            </w:r>
          </w:p>
        </w:tc>
      </w:tr>
    </w:tbl>
    <w:p w:rsidR="008F0B1C" w:rsidRDefault="008F0B1C" w:rsidP="008F0B1C">
      <w:pPr>
        <w:tabs>
          <w:tab w:val="left" w:pos="8505"/>
        </w:tabs>
        <w:ind w:left="284" w:right="295"/>
        <w:jc w:val="center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left="284" w:right="2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DESPESA POR ÓRGÃO</w:t>
      </w:r>
    </w:p>
    <w:p w:rsidR="008F0B1C" w:rsidRDefault="008F0B1C" w:rsidP="008F0B1C">
      <w:pPr>
        <w:tabs>
          <w:tab w:val="left" w:pos="8505"/>
        </w:tabs>
        <w:ind w:left="284" w:right="29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5387"/>
        <w:gridCol w:w="1885"/>
      </w:tblGrid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Câmara Municipal de </w:t>
            </w:r>
            <w:r>
              <w:rPr>
                <w:rFonts w:ascii="Arial" w:hAnsi="Arial" w:cs="Arial"/>
                <w:sz w:val="24"/>
                <w:szCs w:val="24"/>
              </w:rPr>
              <w:t>Camapuã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2.420.000,00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Gabinete do Prefeito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118.000,00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Secretaria Municipal de Assuntos Jurídicos 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445.000,00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Secretaria Municipal de Administração, Finanças e Planejamento 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9.977.000,00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Desenvolvimento Econômico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1.566.000,00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Assistência Social e Inclusão Produtiva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1.733.000,00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Secretaria Municipal de Educação, Cultura, Esporte e Lazer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13.144.000,00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Secretaria Municipal de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Infraestrutura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e Serviços Públicos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6.032.000,00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Secretaria Municipal de Saúde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13.290.000,00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Instituto de Previdência do Município de Camapuã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4.825.000,00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Reserva de Contingência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450.000,00</w:t>
            </w: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B1C" w:rsidRDefault="008F0B1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8F0B1C" w:rsidTr="008F0B1C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0B1C" w:rsidRDefault="008F0B1C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54.000.000,00</w:t>
            </w:r>
          </w:p>
        </w:tc>
      </w:tr>
    </w:tbl>
    <w:p w:rsidR="008F0B1C" w:rsidRDefault="008F0B1C" w:rsidP="008F0B1C">
      <w:pPr>
        <w:tabs>
          <w:tab w:val="left" w:pos="8505"/>
        </w:tabs>
        <w:ind w:right="14" w:firstLine="1701"/>
        <w:rPr>
          <w:rFonts w:ascii="Arial" w:hAnsi="Arial" w:cs="Arial"/>
          <w:b/>
          <w:bCs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Fica o Poder Executivo Municipal autorizado a:</w:t>
      </w:r>
    </w:p>
    <w:p w:rsidR="008F0B1C" w:rsidRDefault="008F0B1C" w:rsidP="008F0B1C">
      <w:pPr>
        <w:tabs>
          <w:tab w:val="left" w:pos="8505"/>
        </w:tabs>
        <w:ind w:right="14" w:firstLine="1701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Abrir créditos adicionais suplementares até o limite de 30% (trinta por cento) sobre o total da despesa fixada nesta Lei, utilizando como recursos compensatórios as fontes previstas no § 1º do Art. 43 da Lei 4.320/64.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Tomar todas as medidas necessárias para ajustar os dispêndios ao efetivo comportamento da receita e realizar Operações de Créditos por Antecipação da Receita Orçamentária, conforme permissão contida no § 8º do artigo 165, obedecendo ao limite estabelecido no inciso III, do artigo 167, ambos da Constituição Federal e Resolução nº 43, de 21 de dezembro de 2001 do Senado Federal.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- Não onerarão o limite previsto no Inciso I deste artigo, os créditos: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destinados a suprir insuficiências nas dotações orçamentárias, relativas a inativos e pensionistas, pessoal e encargos sociais, horas de aval, débitos de precatórios judiciais, sentenças judiciais, serviços da dívida pública, despesas de exercício anteriores e despesas à conta de recursos vinculados;</w:t>
      </w:r>
    </w:p>
    <w:p w:rsidR="008F0B1C" w:rsidRDefault="008F0B1C" w:rsidP="008F0B1C">
      <w:pPr>
        <w:tabs>
          <w:tab w:val="left" w:pos="8505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abertos mediante utilização de recursos previstos nos Incisos I e II do § 1º do artigo 43, ambos da Lei Federal 4.320, de 17 de março de 1964;</w:t>
      </w:r>
    </w:p>
    <w:p w:rsidR="008F0B1C" w:rsidRDefault="008F0B1C" w:rsidP="008F0B1C">
      <w:pPr>
        <w:tabs>
          <w:tab w:val="left" w:pos="8505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>
        <w:rPr>
          <w:rFonts w:ascii="Arial" w:hAnsi="Arial" w:cs="Arial"/>
          <w:sz w:val="24"/>
          <w:szCs w:val="24"/>
        </w:rPr>
        <w:t>suplementares para as adequações das despesas com recursos oriundos de Convênios, Contrato</w:t>
      </w:r>
      <w:proofErr w:type="gramEnd"/>
      <w:r>
        <w:rPr>
          <w:rFonts w:ascii="Arial" w:hAnsi="Arial" w:cs="Arial"/>
          <w:sz w:val="24"/>
          <w:szCs w:val="24"/>
        </w:rPr>
        <w:t xml:space="preserve"> de Repasse e Termos de Cooperação ou Instrumento Congênere, limitados aos recursos efetivamente arrecadados; 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adicionais suplementares por remanejamento, transposição e transferência de recursos, com finalidade facilitar o cumprimento da programação aprovada nesta Lei, entre atividades e projetos de um mesmo programa, no âmbito de cada órgão, obedecida a distribuição por grupo de despesa, nos termo Inciso VI do artigo 167 da Constituição Federal.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>. Autoriza Poder Executivo a promover a compatibilidade da Lei de Diretrizes Orçamentária – LDO e a Lei do Plano Plurianual – PPA, com as alterações verificadas nesta Lei.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7º.  </w:t>
      </w:r>
      <w:r>
        <w:rPr>
          <w:rFonts w:ascii="Arial" w:hAnsi="Arial" w:cs="Arial"/>
          <w:sz w:val="24"/>
          <w:szCs w:val="24"/>
        </w:rPr>
        <w:t xml:space="preserve">A reserva de contingência também poderá ser utilizada como fonte para a abertura de créditos adicionais ao orçamento, conforme preceitua o Art. 8º da Portaria Interministerial nº 163,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maio de 2001, na proporção 1/12 (um doze avos) ao mês, caso não esteja sendo utilizada como define a Lei de Responsabilidade Fiscal.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8º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Em cumprimento ao Artigo 29-A da Constituição Federal, o Executivo Municipal se obriga a suplementar ou deduzir o Orçamento Geral da Câmara Municipal, em até 60 (sessenta) dias após o encerramento do exercício financeiro em curso, tendo por base a receita efetivamente arrecadada.</w:t>
      </w: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9º</w:t>
      </w:r>
      <w:r>
        <w:rPr>
          <w:rFonts w:ascii="Arial" w:hAnsi="Arial" w:cs="Arial"/>
          <w:sz w:val="24"/>
          <w:szCs w:val="24"/>
        </w:rPr>
        <w:t xml:space="preserve">. O Poder Executivo disponibilizará, até 30 de janeiro de 2016, o Decreto que estabelecerá a programação mensal de desembolso dos órgãos integrante do Orçamento Fiscal e da Seguridade Social, em consonância com as disposições contidas nos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47 a 50 da Lei Federal nº</w:t>
      </w:r>
      <w:proofErr w:type="gramEnd"/>
      <w:r>
        <w:rPr>
          <w:rFonts w:ascii="Arial" w:hAnsi="Arial" w:cs="Arial"/>
          <w:sz w:val="24"/>
          <w:szCs w:val="24"/>
        </w:rPr>
        <w:t xml:space="preserve"> 4.320, de 1964, c/c Art. 8º </w:t>
      </w:r>
      <w:r>
        <w:rPr>
          <w:rFonts w:ascii="Arial" w:hAnsi="Arial" w:cs="Arial"/>
          <w:sz w:val="24"/>
          <w:szCs w:val="24"/>
        </w:rPr>
        <w:lastRenderedPageBreak/>
        <w:t>da Lei de Responsabilidade Fiscal, com base nas Receitas Previstas e nas Despesas Fixadas nesta Lei.</w:t>
      </w:r>
    </w:p>
    <w:p w:rsidR="008F0B1C" w:rsidRDefault="008F0B1C" w:rsidP="008F0B1C">
      <w:pPr>
        <w:tabs>
          <w:tab w:val="left" w:pos="8505"/>
        </w:tabs>
        <w:ind w:right="14" w:firstLine="1701"/>
        <w:rPr>
          <w:rFonts w:ascii="Arial" w:hAnsi="Arial" w:cs="Arial"/>
          <w:b/>
          <w:bCs/>
          <w:sz w:val="24"/>
          <w:szCs w:val="24"/>
        </w:rPr>
      </w:pPr>
    </w:p>
    <w:p w:rsidR="008F0B1C" w:rsidRDefault="008F0B1C" w:rsidP="008F0B1C">
      <w:pPr>
        <w:tabs>
          <w:tab w:val="left" w:pos="8505"/>
        </w:tabs>
        <w:ind w:right="14"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10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Esta Lei entra em vigor em 1º de janeiro de 2016.</w:t>
      </w:r>
    </w:p>
    <w:p w:rsidR="008F0B1C" w:rsidRDefault="008F0B1C" w:rsidP="008F0B1C">
      <w:pPr>
        <w:tabs>
          <w:tab w:val="left" w:pos="8505"/>
        </w:tabs>
        <w:ind w:left="284" w:right="297" w:firstLine="1701"/>
        <w:rPr>
          <w:rFonts w:ascii="Arial" w:hAnsi="Arial" w:cs="Arial"/>
          <w:sz w:val="24"/>
          <w:szCs w:val="24"/>
        </w:rPr>
      </w:pPr>
    </w:p>
    <w:p w:rsidR="008F0B1C" w:rsidRDefault="00A4235A" w:rsidP="008F0B1C">
      <w:pPr>
        <w:tabs>
          <w:tab w:val="left" w:pos="8505"/>
        </w:tabs>
        <w:ind w:right="29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F0B1C">
        <w:rPr>
          <w:rFonts w:ascii="Arial" w:hAnsi="Arial" w:cs="Arial"/>
          <w:sz w:val="24"/>
          <w:szCs w:val="24"/>
        </w:rPr>
        <w:t>Cam</w:t>
      </w:r>
      <w:r>
        <w:rPr>
          <w:rFonts w:ascii="Arial" w:hAnsi="Arial" w:cs="Arial"/>
          <w:sz w:val="24"/>
          <w:szCs w:val="24"/>
        </w:rPr>
        <w:t>apuã /MS, 16 de Dezembro de 2015.</w:t>
      </w:r>
    </w:p>
    <w:p w:rsidR="008F0B1C" w:rsidRDefault="008F0B1C" w:rsidP="008F0B1C">
      <w:pPr>
        <w:tabs>
          <w:tab w:val="left" w:pos="8505"/>
        </w:tabs>
        <w:ind w:left="284" w:right="295"/>
        <w:jc w:val="center"/>
        <w:rPr>
          <w:rFonts w:ascii="Arial" w:hAnsi="Arial" w:cs="Arial"/>
          <w:b/>
          <w:sz w:val="24"/>
          <w:szCs w:val="24"/>
        </w:rPr>
      </w:pPr>
    </w:p>
    <w:p w:rsidR="00A4235A" w:rsidRDefault="00A4235A" w:rsidP="008F0B1C">
      <w:pPr>
        <w:tabs>
          <w:tab w:val="left" w:pos="8505"/>
        </w:tabs>
        <w:ind w:left="284" w:right="295"/>
        <w:jc w:val="center"/>
        <w:rPr>
          <w:rFonts w:ascii="Arial" w:hAnsi="Arial" w:cs="Arial"/>
          <w:b/>
          <w:sz w:val="24"/>
          <w:szCs w:val="24"/>
        </w:rPr>
      </w:pPr>
    </w:p>
    <w:p w:rsidR="008F0B1C" w:rsidRDefault="008F0B1C" w:rsidP="008F0B1C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Pimentel </w:t>
      </w:r>
      <w:proofErr w:type="spellStart"/>
      <w:r>
        <w:rPr>
          <w:rFonts w:ascii="Arial" w:hAnsi="Arial" w:cs="Arial"/>
          <w:b/>
          <w:sz w:val="24"/>
          <w:szCs w:val="24"/>
        </w:rPr>
        <w:t>Duailibi</w:t>
      </w:r>
      <w:proofErr w:type="spellEnd"/>
    </w:p>
    <w:p w:rsidR="008F0B1C" w:rsidRDefault="008F0B1C" w:rsidP="008F0B1C">
      <w:pPr>
        <w:ind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sectPr w:rsidR="008F0B1C" w:rsidSect="0068030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539" w:footer="794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1E" w:rsidRDefault="00441F1E" w:rsidP="00CB398E">
      <w:pPr>
        <w:spacing w:after="0" w:line="240" w:lineRule="auto"/>
      </w:pPr>
      <w:r>
        <w:separator/>
      </w:r>
    </w:p>
  </w:endnote>
  <w:endnote w:type="continuationSeparator" w:id="1">
    <w:p w:rsidR="00441F1E" w:rsidRDefault="00441F1E" w:rsidP="00CB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1E" w:rsidRDefault="0078495A" w:rsidP="00680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41F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1F1E" w:rsidRDefault="00441F1E" w:rsidP="006803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1E" w:rsidRDefault="0078495A" w:rsidP="006803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41F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235A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441F1E" w:rsidRPr="000A5019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  <w:sz w:val="18"/>
        <w:szCs w:val="18"/>
      </w:rPr>
    </w:pPr>
    <w:r w:rsidRPr="000A5019">
      <w:rPr>
        <w:rFonts w:ascii="Arial Narrow" w:hAnsi="Arial Narrow"/>
        <w:smallCaps/>
        <w:color w:val="4D4D4D"/>
        <w:sz w:val="18"/>
        <w:szCs w:val="18"/>
      </w:rPr>
      <w:t xml:space="preserve">Rua Bonfim, 441, Centro, Camapuã, MS – 79420-000 </w:t>
    </w:r>
  </w:p>
  <w:p w:rsidR="00441F1E" w:rsidRPr="000A5019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  <w:sz w:val="18"/>
        <w:szCs w:val="18"/>
      </w:rPr>
    </w:pPr>
    <w:r w:rsidRPr="000A5019">
      <w:rPr>
        <w:rFonts w:ascii="Arial Narrow" w:hAnsi="Arial Narrow"/>
        <w:smallCaps/>
        <w:color w:val="4D4D4D"/>
        <w:sz w:val="18"/>
        <w:szCs w:val="18"/>
      </w:rPr>
      <w:t xml:space="preserve">Telefone (67) 3286-6033 </w:t>
    </w:r>
    <w:proofErr w:type="gramStart"/>
    <w:r w:rsidRPr="000A5019">
      <w:rPr>
        <w:rFonts w:ascii="Arial Narrow" w:hAnsi="Arial Narrow"/>
        <w:smallCaps/>
        <w:color w:val="4D4D4D"/>
        <w:sz w:val="18"/>
        <w:szCs w:val="18"/>
      </w:rPr>
      <w:t>Fax(</w:t>
    </w:r>
    <w:proofErr w:type="gramEnd"/>
    <w:r w:rsidRPr="000A5019">
      <w:rPr>
        <w:rFonts w:ascii="Arial Narrow" w:hAnsi="Arial Narrow"/>
        <w:smallCaps/>
        <w:color w:val="4D4D4D"/>
        <w:sz w:val="18"/>
        <w:szCs w:val="18"/>
      </w:rPr>
      <w:t xml:space="preserve">67) 3286-6039 – </w:t>
    </w:r>
    <w:proofErr w:type="spellStart"/>
    <w:r w:rsidRPr="000A5019">
      <w:rPr>
        <w:rFonts w:ascii="Arial Narrow" w:hAnsi="Arial Narrow"/>
        <w:smallCaps/>
        <w:color w:val="4D4D4D"/>
        <w:sz w:val="18"/>
        <w:szCs w:val="18"/>
      </w:rPr>
      <w:t>E-mail</w:t>
    </w:r>
    <w:proofErr w:type="spellEnd"/>
    <w:r w:rsidRPr="000A5019">
      <w:rPr>
        <w:rFonts w:ascii="Arial Narrow" w:hAnsi="Arial Narrow"/>
        <w:smallCaps/>
        <w:color w:val="4D4D4D"/>
        <w:sz w:val="18"/>
        <w:szCs w:val="18"/>
      </w:rPr>
      <w:t>: juridico@camapua.ms.gov.br</w:t>
    </w:r>
  </w:p>
  <w:p w:rsidR="00441F1E" w:rsidRPr="000A5019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  <w:sz w:val="18"/>
        <w:szCs w:val="18"/>
      </w:rPr>
    </w:pPr>
    <w:r w:rsidRPr="000A5019">
      <w:rPr>
        <w:rFonts w:ascii="Arial Narrow" w:hAnsi="Arial Narrow"/>
        <w:smallCaps/>
        <w:color w:val="4D4D4D"/>
        <w:sz w:val="18"/>
        <w:szCs w:val="18"/>
      </w:rPr>
      <w:t xml:space="preserve">CNPJ: 03.501.517/0001-52 </w:t>
    </w:r>
  </w:p>
  <w:p w:rsidR="00441F1E" w:rsidRPr="000A5019" w:rsidRDefault="00441F1E" w:rsidP="0068030B">
    <w:pPr>
      <w:pStyle w:val="Rodap"/>
      <w:rPr>
        <w:color w:val="008080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1E" w:rsidRDefault="00441F1E" w:rsidP="0068030B">
    <w:pPr>
      <w:pStyle w:val="Rodap"/>
      <w:framePr w:wrap="around" w:vAnchor="text" w:hAnchor="margin" w:xAlign="right" w:y="1"/>
      <w:rPr>
        <w:rStyle w:val="Nmerodepgina"/>
      </w:rPr>
    </w:pPr>
  </w:p>
  <w:p w:rsidR="00441F1E" w:rsidRPr="000076CA" w:rsidRDefault="00441F1E" w:rsidP="0068030B">
    <w:pPr>
      <w:pStyle w:val="Rodap"/>
      <w:rPr>
        <w:rFonts w:ascii="Arial Narrow" w:hAnsi="Arial Narrow"/>
        <w:color w:val="008080"/>
        <w:sz w:val="8"/>
      </w:rPr>
    </w:pPr>
  </w:p>
  <w:p w:rsidR="00441F1E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441F1E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juridico@camapua.gov.ms.br</w:t>
    </w:r>
  </w:p>
  <w:p w:rsidR="00441F1E" w:rsidRPr="009431C0" w:rsidRDefault="00441F1E" w:rsidP="0068030B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  <w:p w:rsidR="00441F1E" w:rsidRPr="000076CA" w:rsidRDefault="00441F1E" w:rsidP="0068030B">
    <w:pPr>
      <w:pStyle w:val="Rodap"/>
      <w:rPr>
        <w:color w:val="008080"/>
      </w:rPr>
    </w:pPr>
  </w:p>
  <w:p w:rsidR="00441F1E" w:rsidRDefault="00441F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1E" w:rsidRDefault="00441F1E" w:rsidP="00CB398E">
      <w:pPr>
        <w:spacing w:after="0" w:line="240" w:lineRule="auto"/>
      </w:pPr>
      <w:r>
        <w:separator/>
      </w:r>
    </w:p>
  </w:footnote>
  <w:footnote w:type="continuationSeparator" w:id="1">
    <w:p w:rsidR="00441F1E" w:rsidRDefault="00441F1E" w:rsidP="00CB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1E" w:rsidRPr="008A4FE0" w:rsidRDefault="0078495A" w:rsidP="0068030B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8495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441F1E" w:rsidRDefault="00441F1E" w:rsidP="0068030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41F1E" w:rsidRPr="00414961" w:rsidRDefault="00441F1E" w:rsidP="0068030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441F1E" w:rsidRPr="00E107C9" w:rsidRDefault="00441F1E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>
          <w:pPr>
            <w:pStyle w:val="Cabealho"/>
            <w:rPr>
              <w:sz w:val="3"/>
            </w:rPr>
          </w:pPr>
        </w:p>
      </w:tc>
    </w:tr>
  </w:tbl>
  <w:p w:rsidR="00441F1E" w:rsidRDefault="00441F1E">
    <w:pPr>
      <w:pStyle w:val="Cabealho"/>
    </w:pPr>
  </w:p>
  <w:p w:rsidR="00441F1E" w:rsidRDefault="00441F1E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1E" w:rsidRPr="0026662F" w:rsidRDefault="0078495A" w:rsidP="0068030B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78495A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3.05pt;margin-top:-9.1pt;width:63pt;height:71pt;z-index:251658240;mso-position-horizontal-relative:page">
          <v:imagedata r:id="rId1" o:title=""/>
          <w10:wrap anchorx="page"/>
        </v:shape>
      </w:pict>
    </w:r>
  </w:p>
  <w:p w:rsidR="00441F1E" w:rsidRDefault="00441F1E" w:rsidP="0068030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441F1E" w:rsidRPr="00414961" w:rsidRDefault="00441F1E" w:rsidP="0068030B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441F1E" w:rsidRPr="00E107C9" w:rsidRDefault="00441F1E" w:rsidP="0068030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  <w:tr w:rsidR="00441F1E">
      <w:trPr>
        <w:trHeight w:val="20"/>
      </w:trPr>
      <w:tc>
        <w:tcPr>
          <w:tcW w:w="9198" w:type="dxa"/>
        </w:tcPr>
        <w:p w:rsidR="00441F1E" w:rsidRDefault="00441F1E" w:rsidP="0068030B">
          <w:pPr>
            <w:pStyle w:val="Cabealho"/>
            <w:rPr>
              <w:sz w:val="3"/>
            </w:rPr>
          </w:pPr>
        </w:p>
      </w:tc>
    </w:tr>
  </w:tbl>
  <w:p w:rsidR="00441F1E" w:rsidRDefault="00441F1E" w:rsidP="0068030B">
    <w:pPr>
      <w:pStyle w:val="Cabealho"/>
    </w:pPr>
  </w:p>
  <w:p w:rsidR="00441F1E" w:rsidRDefault="00441F1E" w:rsidP="0068030B">
    <w:pPr>
      <w:pStyle w:val="Cabealho"/>
      <w:rPr>
        <w:rFonts w:ascii="Arial" w:hAnsi="Arial" w:cs="Arial"/>
      </w:rPr>
    </w:pPr>
  </w:p>
  <w:p w:rsidR="00441F1E" w:rsidRDefault="00441F1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52FB"/>
    <w:multiLevelType w:val="hybridMultilevel"/>
    <w:tmpl w:val="64CA2168"/>
    <w:lvl w:ilvl="0" w:tplc="DB000A9C">
      <w:start w:val="1"/>
      <w:numFmt w:val="low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2968A6"/>
    <w:multiLevelType w:val="hybridMultilevel"/>
    <w:tmpl w:val="470C0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4405"/>
    <w:rsid w:val="000262DC"/>
    <w:rsid w:val="00047B48"/>
    <w:rsid w:val="00047E03"/>
    <w:rsid w:val="000A5019"/>
    <w:rsid w:val="000F5F88"/>
    <w:rsid w:val="00134405"/>
    <w:rsid w:val="00235A36"/>
    <w:rsid w:val="00271664"/>
    <w:rsid w:val="002C1E6C"/>
    <w:rsid w:val="00373FA3"/>
    <w:rsid w:val="003A75BD"/>
    <w:rsid w:val="003C4143"/>
    <w:rsid w:val="004030D7"/>
    <w:rsid w:val="00441F1E"/>
    <w:rsid w:val="00457108"/>
    <w:rsid w:val="00457667"/>
    <w:rsid w:val="00476D63"/>
    <w:rsid w:val="004A69E2"/>
    <w:rsid w:val="00501503"/>
    <w:rsid w:val="0051018F"/>
    <w:rsid w:val="0051087B"/>
    <w:rsid w:val="00533E2F"/>
    <w:rsid w:val="00551E48"/>
    <w:rsid w:val="005F48FB"/>
    <w:rsid w:val="00651F12"/>
    <w:rsid w:val="0068030B"/>
    <w:rsid w:val="006E2085"/>
    <w:rsid w:val="0078495A"/>
    <w:rsid w:val="007865BC"/>
    <w:rsid w:val="0080124A"/>
    <w:rsid w:val="008117E1"/>
    <w:rsid w:val="00837DE1"/>
    <w:rsid w:val="00874DAF"/>
    <w:rsid w:val="008E4813"/>
    <w:rsid w:val="008F0B1C"/>
    <w:rsid w:val="008F748C"/>
    <w:rsid w:val="00920CE2"/>
    <w:rsid w:val="009B1DC1"/>
    <w:rsid w:val="009B7291"/>
    <w:rsid w:val="00A3252D"/>
    <w:rsid w:val="00A4235A"/>
    <w:rsid w:val="00AE5D23"/>
    <w:rsid w:val="00B2447A"/>
    <w:rsid w:val="00B36F71"/>
    <w:rsid w:val="00BD511A"/>
    <w:rsid w:val="00C52A39"/>
    <w:rsid w:val="00C836F5"/>
    <w:rsid w:val="00CB398E"/>
    <w:rsid w:val="00CF4441"/>
    <w:rsid w:val="00CF688A"/>
    <w:rsid w:val="00E562B6"/>
    <w:rsid w:val="00ED046E"/>
    <w:rsid w:val="00ED5D37"/>
    <w:rsid w:val="00ED78DD"/>
    <w:rsid w:val="00EF5260"/>
    <w:rsid w:val="00EF5DA6"/>
    <w:rsid w:val="00FD61C4"/>
    <w:rsid w:val="00F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8E"/>
  </w:style>
  <w:style w:type="paragraph" w:styleId="Ttulo1">
    <w:name w:val="heading 1"/>
    <w:basedOn w:val="Normal"/>
    <w:next w:val="Normal"/>
    <w:link w:val="Ttulo1Char"/>
    <w:qFormat/>
    <w:rsid w:val="001344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4405"/>
    <w:rPr>
      <w:rFonts w:ascii="Times New Roman" w:eastAsia="Times New Roman" w:hAnsi="Times New Roman" w:cs="Times New Roman"/>
      <w:sz w:val="26"/>
      <w:szCs w:val="20"/>
    </w:rPr>
  </w:style>
  <w:style w:type="paragraph" w:styleId="Cabealho">
    <w:name w:val="header"/>
    <w:basedOn w:val="Normal"/>
    <w:link w:val="CabealhoChar"/>
    <w:rsid w:val="001344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3440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1344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13440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134405"/>
  </w:style>
  <w:style w:type="paragraph" w:customStyle="1" w:styleId="Default">
    <w:name w:val="Default"/>
    <w:rsid w:val="00134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34405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34405"/>
    <w:rPr>
      <w:rFonts w:ascii="Times New Roman" w:eastAsia="Times New Roman" w:hAnsi="Times New Roman" w:cs="Times New Roman"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2015-05-18T18:54:00Z</cp:lastPrinted>
  <dcterms:created xsi:type="dcterms:W3CDTF">2015-12-16T16:18:00Z</dcterms:created>
  <dcterms:modified xsi:type="dcterms:W3CDTF">2015-12-16T16:18:00Z</dcterms:modified>
</cp:coreProperties>
</file>